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1CD" w:rsidRPr="00963220" w:rsidRDefault="008D62FD" w:rsidP="008D62FD">
      <w:pPr>
        <w:spacing w:after="0" w:line="240" w:lineRule="auto"/>
        <w:jc w:val="center"/>
        <w:rPr>
          <w:b/>
          <w:sz w:val="24"/>
        </w:rPr>
      </w:pPr>
      <w:bookmarkStart w:id="0" w:name="_GoBack"/>
      <w:bookmarkEnd w:id="0"/>
      <w:r w:rsidRPr="00963220">
        <w:rPr>
          <w:b/>
          <w:sz w:val="24"/>
        </w:rPr>
        <w:t>Connecting professional service to service learning</w:t>
      </w:r>
      <w:proofErr w:type="gramStart"/>
      <w:r w:rsidRPr="00963220">
        <w:rPr>
          <w:b/>
          <w:sz w:val="24"/>
        </w:rPr>
        <w:t>:</w:t>
      </w:r>
      <w:proofErr w:type="gramEnd"/>
      <w:r w:rsidRPr="00963220">
        <w:rPr>
          <w:b/>
          <w:sz w:val="24"/>
        </w:rPr>
        <w:br/>
        <w:t>strengthening the relationship between academic libraries and library schools</w:t>
      </w:r>
    </w:p>
    <w:p w:rsidR="008D62FD" w:rsidRPr="000754CD" w:rsidRDefault="008D62FD" w:rsidP="008D62FD">
      <w:pPr>
        <w:spacing w:after="0" w:line="240" w:lineRule="auto"/>
        <w:jc w:val="center"/>
        <w:rPr>
          <w:b/>
          <w:sz w:val="20"/>
        </w:rPr>
      </w:pPr>
    </w:p>
    <w:p w:rsidR="008D62FD" w:rsidRPr="000754CD" w:rsidRDefault="008D62FD" w:rsidP="008D62FD">
      <w:pPr>
        <w:spacing w:after="0" w:line="240" w:lineRule="auto"/>
        <w:jc w:val="center"/>
        <w:rPr>
          <w:sz w:val="16"/>
        </w:rPr>
      </w:pPr>
      <w:r w:rsidRPr="000754CD">
        <w:rPr>
          <w:sz w:val="16"/>
        </w:rPr>
        <w:t xml:space="preserve">Rachel </w:t>
      </w:r>
      <w:r w:rsidR="00963220">
        <w:rPr>
          <w:sz w:val="16"/>
        </w:rPr>
        <w:t xml:space="preserve">M. </w:t>
      </w:r>
      <w:r w:rsidRPr="000754CD">
        <w:rPr>
          <w:sz w:val="16"/>
        </w:rPr>
        <w:t>Jaffe, Metadata</w:t>
      </w:r>
      <w:r w:rsidR="004C15FE">
        <w:rPr>
          <w:sz w:val="16"/>
        </w:rPr>
        <w:t xml:space="preserve"> and Catalog</w:t>
      </w:r>
      <w:r w:rsidRPr="000754CD">
        <w:rPr>
          <w:sz w:val="16"/>
        </w:rPr>
        <w:t xml:space="preserve"> Librarian, Binghamton University Library</w:t>
      </w:r>
    </w:p>
    <w:p w:rsidR="008D62FD" w:rsidRPr="000754CD" w:rsidRDefault="008D62FD" w:rsidP="008D62FD">
      <w:pPr>
        <w:spacing w:after="0" w:line="240" w:lineRule="auto"/>
        <w:jc w:val="center"/>
        <w:rPr>
          <w:sz w:val="16"/>
        </w:rPr>
      </w:pPr>
      <w:r w:rsidRPr="000754CD">
        <w:rPr>
          <w:sz w:val="16"/>
        </w:rPr>
        <w:t>Heather Lea Moulaison, Assistant Professor, University of Missouri School of Information Science &amp; Learning Technologies</w:t>
      </w:r>
    </w:p>
    <w:p w:rsidR="008D62FD" w:rsidRPr="000754CD" w:rsidRDefault="008D62FD" w:rsidP="008D62FD">
      <w:pPr>
        <w:spacing w:after="0" w:line="240" w:lineRule="auto"/>
        <w:rPr>
          <w:sz w:val="20"/>
        </w:rPr>
      </w:pPr>
    </w:p>
    <w:p w:rsidR="008D62FD" w:rsidRPr="000754CD" w:rsidRDefault="008D62FD" w:rsidP="008D62FD">
      <w:pPr>
        <w:spacing w:after="0" w:line="240" w:lineRule="auto"/>
        <w:rPr>
          <w:sz w:val="20"/>
        </w:rPr>
        <w:sectPr w:rsidR="008D62FD" w:rsidRPr="000754CD" w:rsidSect="00963220">
          <w:pgSz w:w="12240" w:h="15840"/>
          <w:pgMar w:top="1152" w:right="1296" w:bottom="1296" w:left="1296" w:header="720" w:footer="720" w:gutter="0"/>
          <w:cols w:space="720"/>
          <w:docGrid w:linePitch="360"/>
        </w:sectPr>
      </w:pPr>
    </w:p>
    <w:p w:rsidR="008D62FD" w:rsidRPr="000754CD" w:rsidRDefault="008D62FD" w:rsidP="008D62FD">
      <w:pPr>
        <w:spacing w:after="0" w:line="240" w:lineRule="auto"/>
        <w:rPr>
          <w:b/>
          <w:sz w:val="18"/>
        </w:rPr>
      </w:pPr>
      <w:r w:rsidRPr="000754CD">
        <w:rPr>
          <w:b/>
          <w:sz w:val="18"/>
        </w:rPr>
        <w:lastRenderedPageBreak/>
        <w:t>What is professional service?</w:t>
      </w:r>
    </w:p>
    <w:p w:rsidR="000754CD" w:rsidRDefault="00963220" w:rsidP="008D62FD">
      <w:pPr>
        <w:spacing w:after="0" w:line="240" w:lineRule="auto"/>
        <w:rPr>
          <w:sz w:val="18"/>
        </w:rPr>
      </w:pPr>
      <w:r w:rsidRPr="00963220">
        <w:rPr>
          <w:sz w:val="18"/>
        </w:rPr>
        <w:t>Professional service activities are those by which librarians support the democratic and educational mission of their institutions, disseminate professional expert</w:t>
      </w:r>
      <w:r>
        <w:rPr>
          <w:sz w:val="18"/>
        </w:rPr>
        <w:t xml:space="preserve">ise or further the profession. </w:t>
      </w:r>
      <w:r w:rsidRPr="00963220">
        <w:rPr>
          <w:sz w:val="18"/>
        </w:rPr>
        <w:t xml:space="preserve">Within academic libraries, professional service is often included among the requirements </w:t>
      </w:r>
      <w:r>
        <w:rPr>
          <w:sz w:val="18"/>
        </w:rPr>
        <w:t>for promotion and tenure.</w:t>
      </w:r>
      <w:r w:rsidRPr="00963220">
        <w:rPr>
          <w:sz w:val="18"/>
        </w:rPr>
        <w:t xml:space="preserve"> However, save for serving on professional committees, there is little </w:t>
      </w:r>
      <w:proofErr w:type="gramStart"/>
      <w:r w:rsidRPr="00963220">
        <w:rPr>
          <w:sz w:val="18"/>
        </w:rPr>
        <w:t>consensus around which activities constitute</w:t>
      </w:r>
      <w:proofErr w:type="gramEnd"/>
      <w:r w:rsidRPr="00963220">
        <w:rPr>
          <w:sz w:val="18"/>
        </w:rPr>
        <w:t xml:space="preserve"> service.  </w:t>
      </w:r>
    </w:p>
    <w:p w:rsidR="00963220" w:rsidRPr="000754CD" w:rsidRDefault="00963220" w:rsidP="008D62FD">
      <w:pPr>
        <w:spacing w:after="0" w:line="240" w:lineRule="auto"/>
        <w:rPr>
          <w:sz w:val="18"/>
        </w:rPr>
      </w:pPr>
    </w:p>
    <w:p w:rsidR="008D62FD" w:rsidRPr="000754CD" w:rsidRDefault="008D62FD" w:rsidP="008D62FD">
      <w:pPr>
        <w:spacing w:after="0" w:line="240" w:lineRule="auto"/>
        <w:rPr>
          <w:b/>
          <w:sz w:val="18"/>
        </w:rPr>
      </w:pPr>
      <w:r w:rsidRPr="000754CD">
        <w:rPr>
          <w:b/>
          <w:sz w:val="18"/>
        </w:rPr>
        <w:t xml:space="preserve">What is service learning? 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  <w:r w:rsidRPr="000754CD">
        <w:rPr>
          <w:sz w:val="18"/>
        </w:rPr>
        <w:t>In a few words, service learning means formally engaging students with a real-life activity that also provides a service in the community as a way of reinforcing knowledge and skills learned in class. The connection to the community is part of the rich learning experience.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</w:p>
    <w:p w:rsidR="008D62FD" w:rsidRPr="000754CD" w:rsidRDefault="008D62FD" w:rsidP="000754CD">
      <w:pPr>
        <w:spacing w:after="0" w:line="240" w:lineRule="auto"/>
        <w:jc w:val="center"/>
        <w:rPr>
          <w:b/>
          <w:sz w:val="18"/>
        </w:rPr>
      </w:pPr>
      <w:r w:rsidRPr="000754CD">
        <w:rPr>
          <w:b/>
          <w:sz w:val="18"/>
        </w:rPr>
        <w:t>THE PROJECT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  <w:r w:rsidRPr="000754CD">
        <w:rPr>
          <w:sz w:val="18"/>
        </w:rPr>
        <w:t xml:space="preserve">University of Missouri LIS students enrolled in </w:t>
      </w:r>
      <w:r w:rsidRPr="000754CD">
        <w:rPr>
          <w:i/>
          <w:sz w:val="18"/>
        </w:rPr>
        <w:t>ISLT 7312 Principles of Cataloging and Classification</w:t>
      </w:r>
      <w:r w:rsidRPr="000754CD">
        <w:rPr>
          <w:sz w:val="18"/>
        </w:rPr>
        <w:t xml:space="preserve"> were assigned the task of creating metadata for capstones (Masters </w:t>
      </w:r>
      <w:proofErr w:type="gramStart"/>
      <w:r w:rsidRPr="000754CD">
        <w:rPr>
          <w:sz w:val="18"/>
        </w:rPr>
        <w:t>theses</w:t>
      </w:r>
      <w:proofErr w:type="gramEnd"/>
      <w:r w:rsidRPr="000754CD">
        <w:rPr>
          <w:sz w:val="18"/>
        </w:rPr>
        <w:t>) from BU for the BU Libraries.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</w:p>
    <w:p w:rsidR="008D62FD" w:rsidRPr="000754CD" w:rsidRDefault="008D62FD" w:rsidP="008D62FD">
      <w:pPr>
        <w:spacing w:after="0" w:line="240" w:lineRule="auto"/>
        <w:rPr>
          <w:b/>
          <w:sz w:val="18"/>
          <w:szCs w:val="18"/>
        </w:rPr>
      </w:pPr>
      <w:r w:rsidRPr="000754CD">
        <w:rPr>
          <w:b/>
          <w:sz w:val="18"/>
          <w:szCs w:val="18"/>
        </w:rPr>
        <w:t>Steps students took to creating metadata</w:t>
      </w:r>
    </w:p>
    <w:p w:rsidR="008D62FD" w:rsidRPr="000754CD" w:rsidRDefault="008D62FD" w:rsidP="008D62FD">
      <w:pPr>
        <w:spacing w:after="0" w:line="240" w:lineRule="auto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1. Preliminary planning</w:t>
      </w:r>
    </w:p>
    <w:p w:rsidR="008D62FD" w:rsidRPr="000754CD" w:rsidRDefault="008D62FD" w:rsidP="000754CD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Discussion of potential users and their needs</w:t>
      </w:r>
    </w:p>
    <w:p w:rsidR="008D62FD" w:rsidRPr="000754CD" w:rsidRDefault="008D62FD" w:rsidP="000754CD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Discussion of systems and limitations</w:t>
      </w:r>
    </w:p>
    <w:p w:rsidR="008D62FD" w:rsidRPr="000754CD" w:rsidRDefault="008D62FD" w:rsidP="000754CD">
      <w:pPr>
        <w:pStyle w:val="ListParagraph"/>
        <w:numPr>
          <w:ilvl w:val="0"/>
          <w:numId w:val="3"/>
        </w:numPr>
        <w:spacing w:after="0" w:line="240" w:lineRule="auto"/>
        <w:ind w:left="540" w:hanging="180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Analysis of capstone documents</w:t>
      </w:r>
    </w:p>
    <w:p w:rsidR="008D62FD" w:rsidRPr="000754CD" w:rsidRDefault="008D62FD" w:rsidP="000754CD">
      <w:pPr>
        <w:spacing w:after="0" w:line="240" w:lineRule="auto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2. Assessing functional requirements</w:t>
      </w:r>
      <w:r w:rsidRPr="000754CD">
        <w:rPr>
          <w:rFonts w:cs="Tahoma"/>
          <w:sz w:val="18"/>
          <w:szCs w:val="18"/>
        </w:rPr>
        <w:br/>
        <w:t>3. Analyzing needed fields (Dublin Core) and input values</w:t>
      </w:r>
      <w:r w:rsidRPr="000754CD">
        <w:rPr>
          <w:rFonts w:cs="Tahoma"/>
          <w:sz w:val="18"/>
          <w:szCs w:val="18"/>
        </w:rPr>
        <w:br/>
        <w:t>4. Learning about Rosetta</w:t>
      </w:r>
    </w:p>
    <w:p w:rsidR="008D62FD" w:rsidRPr="000754CD" w:rsidRDefault="008D62FD" w:rsidP="000754CD">
      <w:pPr>
        <w:pStyle w:val="ListParagraph"/>
        <w:numPr>
          <w:ilvl w:val="0"/>
          <w:numId w:val="4"/>
        </w:numPr>
        <w:spacing w:after="0" w:line="240" w:lineRule="auto"/>
        <w:ind w:left="540" w:hanging="180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Introduction to Rosetta from Rachel</w:t>
      </w:r>
    </w:p>
    <w:p w:rsidR="008D62FD" w:rsidRPr="000754CD" w:rsidRDefault="008D62FD" w:rsidP="000754CD">
      <w:pPr>
        <w:spacing w:after="0" w:line="240" w:lineRule="auto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5. Learning about BU's context</w:t>
      </w:r>
    </w:p>
    <w:p w:rsidR="008D62FD" w:rsidRPr="000754CD" w:rsidRDefault="008D62FD" w:rsidP="000754CD">
      <w:pPr>
        <w:pStyle w:val="ListParagraph"/>
        <w:numPr>
          <w:ilvl w:val="0"/>
          <w:numId w:val="4"/>
        </w:numPr>
        <w:spacing w:after="0" w:line="240" w:lineRule="auto"/>
        <w:ind w:left="540" w:hanging="180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Best Practices documentation</w:t>
      </w:r>
    </w:p>
    <w:p w:rsidR="008D62FD" w:rsidRPr="000754CD" w:rsidRDefault="008D62FD" w:rsidP="000754CD">
      <w:pPr>
        <w:pStyle w:val="ListParagraph"/>
        <w:numPr>
          <w:ilvl w:val="0"/>
          <w:numId w:val="4"/>
        </w:numPr>
        <w:spacing w:after="0" w:line="240" w:lineRule="auto"/>
        <w:ind w:left="540" w:hanging="180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>Initial work with using Rosetta</w:t>
      </w:r>
    </w:p>
    <w:p w:rsidR="000754CD" w:rsidRPr="000754CD" w:rsidRDefault="008D62FD" w:rsidP="000754CD">
      <w:pPr>
        <w:spacing w:after="0" w:line="240" w:lineRule="auto"/>
        <w:rPr>
          <w:rFonts w:cs="Tahoma"/>
          <w:sz w:val="18"/>
          <w:szCs w:val="18"/>
        </w:rPr>
      </w:pPr>
      <w:r w:rsidRPr="000754CD">
        <w:rPr>
          <w:rFonts w:cs="Tahoma"/>
          <w:sz w:val="18"/>
          <w:szCs w:val="18"/>
        </w:rPr>
        <w:t xml:space="preserve">6. Receiving two capstones, </w:t>
      </w:r>
      <w:r w:rsidR="000754CD" w:rsidRPr="000754CD">
        <w:rPr>
          <w:rFonts w:cs="Tahoma"/>
          <w:sz w:val="18"/>
          <w:szCs w:val="18"/>
        </w:rPr>
        <w:t>analyzing</w:t>
      </w:r>
      <w:r w:rsidRPr="000754CD">
        <w:rPr>
          <w:rFonts w:cs="Tahoma"/>
          <w:sz w:val="18"/>
          <w:szCs w:val="18"/>
        </w:rPr>
        <w:t xml:space="preserve"> them, cataloging them for peer review.</w:t>
      </w:r>
      <w:r w:rsidRPr="000754CD">
        <w:rPr>
          <w:rFonts w:cs="Tahoma"/>
          <w:sz w:val="18"/>
          <w:szCs w:val="18"/>
        </w:rPr>
        <w:br/>
        <w:t>7. Peer reviewing of classmates' records; incorporating suggested changes (or not) after discussion</w:t>
      </w:r>
      <w:r w:rsidRPr="000754CD">
        <w:rPr>
          <w:rFonts w:cs="Tahoma"/>
          <w:sz w:val="18"/>
          <w:szCs w:val="18"/>
        </w:rPr>
        <w:br/>
        <w:t xml:space="preserve">8. </w:t>
      </w:r>
      <w:proofErr w:type="gramStart"/>
      <w:r w:rsidRPr="000754CD">
        <w:rPr>
          <w:rFonts w:cs="Tahoma"/>
          <w:sz w:val="18"/>
          <w:szCs w:val="18"/>
        </w:rPr>
        <w:t xml:space="preserve">Inputting records directly into Rosetta's </w:t>
      </w:r>
      <w:proofErr w:type="spellStart"/>
      <w:r w:rsidRPr="000754CD">
        <w:rPr>
          <w:rFonts w:cs="Tahoma"/>
          <w:sz w:val="18"/>
          <w:szCs w:val="18"/>
        </w:rPr>
        <w:t>workform</w:t>
      </w:r>
      <w:proofErr w:type="spellEnd"/>
      <w:r w:rsidRPr="000754CD">
        <w:rPr>
          <w:rFonts w:cs="Tahoma"/>
          <w:sz w:val="18"/>
          <w:szCs w:val="18"/>
        </w:rPr>
        <w:br/>
        <w:t>9.</w:t>
      </w:r>
      <w:proofErr w:type="gramEnd"/>
      <w:r w:rsidRPr="000754CD">
        <w:rPr>
          <w:rFonts w:cs="Tahoma"/>
          <w:sz w:val="18"/>
          <w:szCs w:val="18"/>
        </w:rPr>
        <w:t xml:space="preserve"> </w:t>
      </w:r>
      <w:proofErr w:type="gramStart"/>
      <w:r w:rsidRPr="000754CD">
        <w:rPr>
          <w:rFonts w:cs="Tahoma"/>
          <w:sz w:val="18"/>
          <w:szCs w:val="18"/>
        </w:rPr>
        <w:t>Receiving feedback from Rachel and the instructor</w:t>
      </w:r>
      <w:r w:rsidRPr="000754CD">
        <w:rPr>
          <w:rFonts w:cs="Tahoma"/>
          <w:sz w:val="18"/>
          <w:szCs w:val="18"/>
        </w:rPr>
        <w:br/>
        <w:t>10.</w:t>
      </w:r>
      <w:proofErr w:type="gramEnd"/>
      <w:r w:rsidRPr="000754CD">
        <w:rPr>
          <w:rFonts w:cs="Tahoma"/>
          <w:sz w:val="18"/>
          <w:szCs w:val="18"/>
        </w:rPr>
        <w:t xml:space="preserve"> Final corrections before ingestion</w:t>
      </w:r>
    </w:p>
    <w:p w:rsidR="000754CD" w:rsidRPr="000754CD" w:rsidRDefault="000754CD" w:rsidP="000754CD">
      <w:pPr>
        <w:spacing w:after="0" w:line="240" w:lineRule="auto"/>
        <w:rPr>
          <w:rFonts w:cs="Tahoma"/>
          <w:sz w:val="16"/>
          <w:szCs w:val="20"/>
        </w:rPr>
      </w:pPr>
    </w:p>
    <w:p w:rsidR="000754CD" w:rsidRPr="000754CD" w:rsidRDefault="000754CD" w:rsidP="000754CD">
      <w:pPr>
        <w:spacing w:after="0" w:line="240" w:lineRule="auto"/>
        <w:rPr>
          <w:rFonts w:cs="Tahoma"/>
          <w:b/>
          <w:sz w:val="18"/>
          <w:szCs w:val="20"/>
        </w:rPr>
      </w:pPr>
      <w:r w:rsidRPr="000754CD">
        <w:rPr>
          <w:rFonts w:cs="Tahoma"/>
          <w:b/>
          <w:sz w:val="18"/>
          <w:szCs w:val="20"/>
        </w:rPr>
        <w:t>End result of the Project</w:t>
      </w:r>
    </w:p>
    <w:p w:rsidR="000754CD" w:rsidRDefault="000754CD" w:rsidP="000754CD">
      <w:pPr>
        <w:spacing w:after="0" w:line="240" w:lineRule="auto"/>
        <w:rPr>
          <w:rFonts w:cs="Tahoma"/>
          <w:sz w:val="18"/>
          <w:szCs w:val="20"/>
        </w:rPr>
      </w:pPr>
      <w:r w:rsidRPr="000754CD">
        <w:rPr>
          <w:rFonts w:cs="Tahoma"/>
          <w:sz w:val="18"/>
          <w:szCs w:val="20"/>
        </w:rPr>
        <w:t>Complete student-created corrected records available in the BU Library system.</w:t>
      </w:r>
    </w:p>
    <w:p w:rsidR="00963220" w:rsidRDefault="00963220" w:rsidP="000754CD">
      <w:pPr>
        <w:spacing w:after="0" w:line="240" w:lineRule="auto"/>
        <w:rPr>
          <w:rFonts w:cs="Tahoma"/>
          <w:sz w:val="18"/>
          <w:szCs w:val="20"/>
        </w:rPr>
      </w:pPr>
    </w:p>
    <w:p w:rsidR="00963220" w:rsidRPr="000754CD" w:rsidRDefault="00963220" w:rsidP="00963220">
      <w:pPr>
        <w:spacing w:after="0" w:line="240" w:lineRule="auto"/>
        <w:jc w:val="center"/>
        <w:rPr>
          <w:b/>
          <w:sz w:val="20"/>
        </w:rPr>
      </w:pPr>
      <w:r w:rsidRPr="000754CD">
        <w:rPr>
          <w:b/>
          <w:sz w:val="20"/>
        </w:rPr>
        <w:t>Bibliography</w:t>
      </w:r>
    </w:p>
    <w:p w:rsidR="00963220" w:rsidRPr="00963220" w:rsidRDefault="00963220" w:rsidP="00963220">
      <w:pPr>
        <w:spacing w:after="0" w:line="240" w:lineRule="auto"/>
        <w:ind w:left="180" w:hanging="180"/>
        <w:rPr>
          <w:sz w:val="16"/>
        </w:rPr>
      </w:pPr>
      <w:proofErr w:type="gramStart"/>
      <w:r w:rsidRPr="00963220">
        <w:rPr>
          <w:sz w:val="16"/>
        </w:rPr>
        <w:t>Association of College &amp; Research Libraries.</w:t>
      </w:r>
      <w:proofErr w:type="gramEnd"/>
      <w:r w:rsidRPr="00963220">
        <w:rPr>
          <w:sz w:val="16"/>
        </w:rPr>
        <w:t xml:space="preserve"> </w:t>
      </w:r>
      <w:proofErr w:type="gramStart"/>
      <w:r w:rsidRPr="00963220">
        <w:rPr>
          <w:sz w:val="16"/>
        </w:rPr>
        <w:t>(1998).</w:t>
      </w:r>
      <w:r w:rsidRPr="00963220">
        <w:rPr>
          <w:i/>
          <w:sz w:val="16"/>
        </w:rPr>
        <w:t xml:space="preserve"> Academic librarianship and the redefining scholarship project</w:t>
      </w:r>
      <w:r w:rsidRPr="00963220">
        <w:rPr>
          <w:sz w:val="16"/>
        </w:rPr>
        <w:t>.</w:t>
      </w:r>
      <w:proofErr w:type="gramEnd"/>
      <w:r w:rsidRPr="00963220">
        <w:rPr>
          <w:sz w:val="16"/>
        </w:rPr>
        <w:t xml:space="preserve"> Retrieved from: </w:t>
      </w:r>
      <w:hyperlink r:id="rId6" w:history="1">
        <w:r w:rsidRPr="007100A2">
          <w:rPr>
            <w:rStyle w:val="Hyperlink"/>
            <w:sz w:val="16"/>
          </w:rPr>
          <w:t>http://www.ala.org/acrl/publications/whitepapers/academiclibrarianship</w:t>
        </w:r>
      </w:hyperlink>
      <w:r>
        <w:rPr>
          <w:sz w:val="16"/>
        </w:rPr>
        <w:t xml:space="preserve"> </w:t>
      </w:r>
    </w:p>
    <w:p w:rsidR="00963220" w:rsidRPr="00963220" w:rsidRDefault="00963220" w:rsidP="00963220">
      <w:pPr>
        <w:spacing w:after="0" w:line="240" w:lineRule="auto"/>
        <w:ind w:left="180" w:hanging="180"/>
        <w:rPr>
          <w:sz w:val="16"/>
        </w:rPr>
      </w:pPr>
      <w:proofErr w:type="gramStart"/>
      <w:r w:rsidRPr="00963220">
        <w:rPr>
          <w:sz w:val="16"/>
        </w:rPr>
        <w:t>Association of College &amp; Research Libraries.</w:t>
      </w:r>
      <w:proofErr w:type="gramEnd"/>
      <w:r w:rsidRPr="00963220">
        <w:rPr>
          <w:sz w:val="16"/>
        </w:rPr>
        <w:t xml:space="preserve"> </w:t>
      </w:r>
      <w:proofErr w:type="gramStart"/>
      <w:r w:rsidRPr="00963220">
        <w:rPr>
          <w:sz w:val="16"/>
        </w:rPr>
        <w:t>(2010). A guideline for appointment, promotion and tenure of academic librarians.</w:t>
      </w:r>
      <w:proofErr w:type="gramEnd"/>
      <w:r w:rsidRPr="00963220">
        <w:rPr>
          <w:sz w:val="16"/>
        </w:rPr>
        <w:t xml:space="preserve"> Retrieved from: </w:t>
      </w:r>
      <w:hyperlink r:id="rId7" w:history="1">
        <w:r w:rsidRPr="007100A2">
          <w:rPr>
            <w:rStyle w:val="Hyperlink"/>
            <w:sz w:val="16"/>
          </w:rPr>
          <w:t>http://www.ala.org/acrl/standards/promotiontenure</w:t>
        </w:r>
      </w:hyperlink>
      <w:r>
        <w:rPr>
          <w:sz w:val="16"/>
        </w:rPr>
        <w:t xml:space="preserve"> </w:t>
      </w:r>
    </w:p>
    <w:p w:rsidR="008D62FD" w:rsidRPr="000754CD" w:rsidRDefault="00893515" w:rsidP="000754CD">
      <w:pPr>
        <w:spacing w:after="0" w:line="240" w:lineRule="auto"/>
        <w:jc w:val="center"/>
        <w:rPr>
          <w:rFonts w:cs="Tahoma"/>
          <w:sz w:val="16"/>
          <w:szCs w:val="20"/>
        </w:rPr>
      </w:pPr>
      <w:r>
        <w:rPr>
          <w:b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513893</wp:posOffset>
                </wp:positionH>
                <wp:positionV relativeFrom="paragraph">
                  <wp:posOffset>268401</wp:posOffset>
                </wp:positionV>
                <wp:extent cx="5383988" cy="27797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3988" cy="27797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515" w:rsidRPr="00893515" w:rsidRDefault="00A64EBA" w:rsidP="0089351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Download the p</w:t>
                            </w:r>
                            <w:r w:rsidR="00893515" w:rsidRPr="00893515">
                              <w:rPr>
                                <w:sz w:val="20"/>
                                <w:szCs w:val="20"/>
                              </w:rPr>
                              <w:t>oster: http://codabox.org/130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0.45pt;margin-top:21.15pt;width:423.95pt;height:21.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" filled="f" stroked="f" strokeweight=".5pt">
                <v:textbox>
                  <w:txbxContent>
                    <w:p w:rsidR="00893515" w:rsidRPr="00893515" w:rsidRDefault="00A64EBA" w:rsidP="0089351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Download the p</w:t>
                      </w:r>
                      <w:r w:rsidR="00893515" w:rsidRPr="00893515">
                        <w:rPr>
                          <w:sz w:val="20"/>
                          <w:szCs w:val="20"/>
                        </w:rPr>
                        <w:t>oster: http://codabox.org/130</w:t>
                      </w:r>
                    </w:p>
                  </w:txbxContent>
                </v:textbox>
              </v:shape>
            </w:pict>
          </mc:Fallback>
        </mc:AlternateContent>
      </w:r>
      <w:r w:rsidR="008D62FD" w:rsidRPr="000754CD">
        <w:rPr>
          <w:b/>
          <w:sz w:val="18"/>
        </w:rPr>
        <w:br w:type="column"/>
      </w:r>
      <w:r w:rsidR="00963220">
        <w:rPr>
          <w:b/>
          <w:sz w:val="18"/>
        </w:rPr>
        <w:lastRenderedPageBreak/>
        <w:t xml:space="preserve">PROJECT </w:t>
      </w:r>
      <w:r w:rsidR="008D62FD" w:rsidRPr="000754CD">
        <w:rPr>
          <w:b/>
          <w:sz w:val="18"/>
        </w:rPr>
        <w:t>OUTCOMES</w:t>
      </w:r>
    </w:p>
    <w:p w:rsidR="008D62FD" w:rsidRPr="000754CD" w:rsidRDefault="008D62FD" w:rsidP="008D62FD">
      <w:pPr>
        <w:spacing w:after="0" w:line="240" w:lineRule="auto"/>
        <w:rPr>
          <w:b/>
          <w:sz w:val="18"/>
        </w:rPr>
      </w:pPr>
      <w:r w:rsidRPr="000754CD">
        <w:rPr>
          <w:b/>
          <w:sz w:val="18"/>
        </w:rPr>
        <w:t>For the librarian</w:t>
      </w:r>
    </w:p>
    <w:p w:rsidR="008D62FD" w:rsidRPr="000754CD" w:rsidRDefault="008D62FD" w:rsidP="008D62FD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Developing a real-world, working relationships with future librarians</w:t>
      </w:r>
    </w:p>
    <w:p w:rsidR="008D62FD" w:rsidRPr="000754CD" w:rsidRDefault="008D62FD" w:rsidP="008D62FD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Being able to impart practical knowledge and share experience in a formal classroom environment</w:t>
      </w:r>
    </w:p>
    <w:p w:rsidR="008D62FD" w:rsidRPr="000754CD" w:rsidRDefault="008D62FD" w:rsidP="008D62FD">
      <w:pPr>
        <w:pStyle w:val="ListParagraph"/>
        <w:numPr>
          <w:ilvl w:val="1"/>
          <w:numId w:val="2"/>
        </w:numPr>
        <w:spacing w:after="0" w:line="240" w:lineRule="auto"/>
        <w:ind w:left="450" w:hanging="180"/>
        <w:rPr>
          <w:sz w:val="18"/>
        </w:rPr>
      </w:pPr>
      <w:r w:rsidRPr="000754CD">
        <w:rPr>
          <w:sz w:val="18"/>
        </w:rPr>
        <w:t>Without having to commit to teaching for an entire semester</w:t>
      </w:r>
    </w:p>
    <w:p w:rsidR="008D62FD" w:rsidRPr="000754CD" w:rsidRDefault="008D62FD" w:rsidP="008D62FD">
      <w:pPr>
        <w:pStyle w:val="ListParagraph"/>
        <w:numPr>
          <w:ilvl w:val="1"/>
          <w:numId w:val="2"/>
        </w:numPr>
        <w:spacing w:after="0" w:line="240" w:lineRule="auto"/>
        <w:ind w:left="450" w:hanging="180"/>
        <w:rPr>
          <w:sz w:val="18"/>
        </w:rPr>
      </w:pPr>
      <w:r w:rsidRPr="000754CD">
        <w:rPr>
          <w:sz w:val="18"/>
        </w:rPr>
        <w:t>Without the issues of evaluating student contributions for a grade</w:t>
      </w:r>
    </w:p>
    <w:p w:rsidR="008D62FD" w:rsidRPr="000754CD" w:rsidRDefault="008D62FD" w:rsidP="008D62FD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Sharing the excitement of metadata librarianship with a new generation of information professionals</w:t>
      </w:r>
    </w:p>
    <w:p w:rsidR="008D62FD" w:rsidRPr="000754CD" w:rsidRDefault="008D62FD" w:rsidP="008D62FD">
      <w:pPr>
        <w:pStyle w:val="ListParagraph"/>
        <w:numPr>
          <w:ilvl w:val="0"/>
          <w:numId w:val="2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Helping reduce the library's backlog and make content available to users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</w:p>
    <w:p w:rsidR="008D62FD" w:rsidRPr="000754CD" w:rsidRDefault="008D62FD" w:rsidP="008D62FD">
      <w:pPr>
        <w:spacing w:after="0" w:line="240" w:lineRule="auto"/>
        <w:rPr>
          <w:b/>
          <w:sz w:val="18"/>
        </w:rPr>
      </w:pPr>
      <w:r w:rsidRPr="000754CD">
        <w:rPr>
          <w:b/>
          <w:sz w:val="18"/>
        </w:rPr>
        <w:t>For the students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  <w:r w:rsidRPr="000754CD">
        <w:rPr>
          <w:sz w:val="18"/>
        </w:rPr>
        <w:t>Students reported, spontaneously (without being asked) in evaluations</w:t>
      </w:r>
      <w:r w:rsidR="00963220">
        <w:rPr>
          <w:sz w:val="18"/>
        </w:rPr>
        <w:t xml:space="preserve"> </w:t>
      </w:r>
      <w:r w:rsidRPr="000754CD">
        <w:rPr>
          <w:sz w:val="18"/>
        </w:rPr>
        <w:t>from spring 2012 and fall 2012:</w:t>
      </w:r>
    </w:p>
    <w:p w:rsidR="008D62FD" w:rsidRPr="000754CD" w:rsidRDefault="008D62FD" w:rsidP="008D62FD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"The capstone cataloging was a pretty cool hands-on activity."</w:t>
      </w:r>
    </w:p>
    <w:p w:rsidR="008D62FD" w:rsidRPr="000754CD" w:rsidRDefault="008D62FD" w:rsidP="008D62FD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“The real world project was very helpful”</w:t>
      </w:r>
    </w:p>
    <w:p w:rsidR="008D62FD" w:rsidRPr="000754CD" w:rsidRDefault="008D62FD" w:rsidP="008D62FD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“Hands on application of cataloging rules &amp; principles was excellent – also nice that we used Rosetta at BU”</w:t>
      </w:r>
    </w:p>
    <w:p w:rsidR="008D62FD" w:rsidRPr="000754CD" w:rsidRDefault="008D62FD" w:rsidP="008D62FD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sz w:val="18"/>
        </w:rPr>
      </w:pPr>
      <w:r w:rsidRPr="000754CD">
        <w:rPr>
          <w:sz w:val="18"/>
        </w:rPr>
        <w:t>“Learning to work w/class[</w:t>
      </w:r>
      <w:proofErr w:type="spellStart"/>
      <w:r w:rsidRPr="000754CD">
        <w:rPr>
          <w:sz w:val="18"/>
        </w:rPr>
        <w:t>ification</w:t>
      </w:r>
      <w:proofErr w:type="spellEnd"/>
      <w:r w:rsidRPr="000754CD">
        <w:rPr>
          <w:sz w:val="18"/>
        </w:rPr>
        <w:t>] systems, Dublin core, etc. – Practical as a whole”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</w:p>
    <w:p w:rsidR="008D62FD" w:rsidRPr="000754CD" w:rsidRDefault="008D62FD" w:rsidP="008D62FD">
      <w:pPr>
        <w:spacing w:after="0" w:line="240" w:lineRule="auto"/>
        <w:rPr>
          <w:b/>
          <w:sz w:val="18"/>
        </w:rPr>
      </w:pPr>
      <w:r w:rsidRPr="000754CD">
        <w:rPr>
          <w:b/>
          <w:sz w:val="18"/>
        </w:rPr>
        <w:t>For the institution</w:t>
      </w:r>
    </w:p>
    <w:p w:rsidR="008D62FD" w:rsidRPr="000754CD" w:rsidRDefault="008D62FD" w:rsidP="008D62FD">
      <w:pPr>
        <w:spacing w:after="0" w:line="240" w:lineRule="auto"/>
        <w:rPr>
          <w:sz w:val="18"/>
        </w:rPr>
      </w:pPr>
      <w:r w:rsidRPr="000754CD">
        <w:rPr>
          <w:sz w:val="18"/>
        </w:rPr>
        <w:t xml:space="preserve">Feedback from the academic department following </w:t>
      </w:r>
      <w:proofErr w:type="gramStart"/>
      <w:r w:rsidRPr="000754CD">
        <w:rPr>
          <w:sz w:val="18"/>
        </w:rPr>
        <w:t>the ingest</w:t>
      </w:r>
      <w:proofErr w:type="gramEnd"/>
      <w:r w:rsidRPr="000754CD">
        <w:rPr>
          <w:sz w:val="18"/>
        </w:rPr>
        <w:t xml:space="preserve"> of the capstone projects:</w:t>
      </w:r>
      <w:r w:rsidR="00963220">
        <w:rPr>
          <w:sz w:val="18"/>
        </w:rPr>
        <w:t xml:space="preserve"> </w:t>
      </w:r>
      <w:r w:rsidRPr="000754CD">
        <w:rPr>
          <w:sz w:val="18"/>
        </w:rPr>
        <w:t>“Placing the capstones into Rosetta has made these projects – which strive to provide practical solutions to real world problems – both more discoverable to a wider audience, and more easily preserved.”</w:t>
      </w:r>
    </w:p>
    <w:p w:rsidR="000754CD" w:rsidRPr="000754CD" w:rsidRDefault="000754CD" w:rsidP="008D62FD">
      <w:pPr>
        <w:spacing w:after="0" w:line="240" w:lineRule="auto"/>
        <w:rPr>
          <w:sz w:val="20"/>
        </w:rPr>
      </w:pPr>
    </w:p>
    <w:p w:rsidR="00963220" w:rsidRDefault="00963220" w:rsidP="00963220">
      <w:pPr>
        <w:spacing w:after="0" w:line="240" w:lineRule="auto"/>
        <w:jc w:val="center"/>
        <w:rPr>
          <w:b/>
          <w:sz w:val="20"/>
        </w:rPr>
      </w:pPr>
    </w:p>
    <w:p w:rsidR="00963220" w:rsidRPr="000754CD" w:rsidRDefault="00963220" w:rsidP="00963220">
      <w:pPr>
        <w:spacing w:after="0" w:line="240" w:lineRule="auto"/>
        <w:jc w:val="center"/>
        <w:rPr>
          <w:b/>
          <w:sz w:val="20"/>
        </w:rPr>
      </w:pPr>
      <w:r w:rsidRPr="000754CD">
        <w:rPr>
          <w:b/>
          <w:sz w:val="20"/>
        </w:rPr>
        <w:t>Bibliography</w:t>
      </w:r>
      <w:r>
        <w:rPr>
          <w:b/>
          <w:sz w:val="20"/>
        </w:rPr>
        <w:t>, continued</w:t>
      </w:r>
    </w:p>
    <w:p w:rsidR="00963220" w:rsidRPr="00963220" w:rsidRDefault="00963220" w:rsidP="00963220">
      <w:pPr>
        <w:spacing w:after="0" w:line="240" w:lineRule="auto"/>
        <w:ind w:left="180" w:hanging="180"/>
        <w:rPr>
          <w:sz w:val="16"/>
        </w:rPr>
      </w:pPr>
      <w:proofErr w:type="spellStart"/>
      <w:proofErr w:type="gramStart"/>
      <w:r w:rsidRPr="00963220">
        <w:rPr>
          <w:sz w:val="16"/>
        </w:rPr>
        <w:t>Benefiel</w:t>
      </w:r>
      <w:proofErr w:type="spellEnd"/>
      <w:r w:rsidRPr="00963220">
        <w:rPr>
          <w:sz w:val="16"/>
        </w:rPr>
        <w:t xml:space="preserve">, C. R., Miller, J. P., Mosley, P., &amp; </w:t>
      </w:r>
      <w:proofErr w:type="spellStart"/>
      <w:r w:rsidRPr="00963220">
        <w:rPr>
          <w:sz w:val="16"/>
        </w:rPr>
        <w:t>Arant-Kaspar</w:t>
      </w:r>
      <w:proofErr w:type="spellEnd"/>
      <w:r w:rsidRPr="00963220">
        <w:rPr>
          <w:sz w:val="16"/>
        </w:rPr>
        <w:t>, W. (2001).</w:t>
      </w:r>
      <w:proofErr w:type="gramEnd"/>
      <w:r w:rsidRPr="00963220">
        <w:rPr>
          <w:sz w:val="16"/>
        </w:rPr>
        <w:t xml:space="preserve"> Service to the profession: Definitions, scope, and value. </w:t>
      </w:r>
      <w:proofErr w:type="gramStart"/>
      <w:r w:rsidRPr="00963220">
        <w:rPr>
          <w:i/>
          <w:sz w:val="16"/>
        </w:rPr>
        <w:t>Reference Librarian</w:t>
      </w:r>
      <w:r>
        <w:rPr>
          <w:sz w:val="16"/>
        </w:rPr>
        <w:t>, 35(73), 362.</w:t>
      </w:r>
      <w:proofErr w:type="gramEnd"/>
    </w:p>
    <w:p w:rsidR="00963220" w:rsidRDefault="00963220" w:rsidP="00963220">
      <w:pPr>
        <w:spacing w:after="0" w:line="240" w:lineRule="auto"/>
        <w:ind w:left="180" w:hanging="180"/>
        <w:rPr>
          <w:sz w:val="16"/>
        </w:rPr>
      </w:pPr>
      <w:proofErr w:type="spellStart"/>
      <w:proofErr w:type="gramStart"/>
      <w:r w:rsidRPr="000754CD">
        <w:rPr>
          <w:sz w:val="16"/>
        </w:rPr>
        <w:t>Brzozwski</w:t>
      </w:r>
      <w:proofErr w:type="spellEnd"/>
      <w:r w:rsidRPr="000754CD">
        <w:rPr>
          <w:sz w:val="16"/>
        </w:rPr>
        <w:t xml:space="preserve">, B., </w:t>
      </w:r>
      <w:proofErr w:type="spellStart"/>
      <w:r w:rsidRPr="000754CD">
        <w:rPr>
          <w:sz w:val="16"/>
        </w:rPr>
        <w:t>Homenda</w:t>
      </w:r>
      <w:proofErr w:type="spellEnd"/>
      <w:r w:rsidRPr="000754CD">
        <w:rPr>
          <w:sz w:val="16"/>
        </w:rPr>
        <w:t>, N. &amp; Roy, L. (2012).</w:t>
      </w:r>
      <w:proofErr w:type="gramEnd"/>
      <w:r w:rsidRPr="000754CD">
        <w:rPr>
          <w:sz w:val="16"/>
        </w:rPr>
        <w:t xml:space="preserve"> The value of service learning projects in preparing LIS students for public services careers in public libraries. </w:t>
      </w:r>
      <w:r w:rsidRPr="00C5305E">
        <w:rPr>
          <w:i/>
          <w:sz w:val="16"/>
        </w:rPr>
        <w:t>Reference Librarian</w:t>
      </w:r>
      <w:r w:rsidRPr="000754CD">
        <w:rPr>
          <w:sz w:val="16"/>
        </w:rPr>
        <w:t>, 53(1), 24-40.</w:t>
      </w:r>
    </w:p>
    <w:p w:rsidR="00963220" w:rsidRPr="000754CD" w:rsidRDefault="00963220" w:rsidP="00963220">
      <w:pPr>
        <w:spacing w:after="0" w:line="240" w:lineRule="auto"/>
        <w:ind w:left="180" w:hanging="180"/>
        <w:rPr>
          <w:sz w:val="16"/>
        </w:rPr>
      </w:pPr>
      <w:r w:rsidRPr="000754CD">
        <w:rPr>
          <w:sz w:val="16"/>
        </w:rPr>
        <w:t xml:space="preserve">Fink, L. D. (2003a). </w:t>
      </w:r>
      <w:proofErr w:type="gramStart"/>
      <w:r w:rsidRPr="00C5305E">
        <w:rPr>
          <w:i/>
          <w:sz w:val="16"/>
        </w:rPr>
        <w:t>A self-directed guide to designing courses for significant learning</w:t>
      </w:r>
      <w:r w:rsidRPr="000754CD">
        <w:rPr>
          <w:sz w:val="16"/>
        </w:rPr>
        <w:t xml:space="preserve"> [preprint].</w:t>
      </w:r>
      <w:proofErr w:type="gramEnd"/>
      <w:r w:rsidRPr="000754CD">
        <w:rPr>
          <w:sz w:val="16"/>
        </w:rPr>
        <w:t xml:space="preserve"> San Francisco: </w:t>
      </w:r>
      <w:proofErr w:type="spellStart"/>
      <w:r w:rsidRPr="000754CD">
        <w:rPr>
          <w:sz w:val="16"/>
        </w:rPr>
        <w:t>Jossey</w:t>
      </w:r>
      <w:proofErr w:type="spellEnd"/>
      <w:r w:rsidRPr="000754CD">
        <w:rPr>
          <w:sz w:val="16"/>
        </w:rPr>
        <w:t xml:space="preserve">-Bass. Available online: </w:t>
      </w:r>
      <w:hyperlink r:id="rId8" w:history="1">
        <w:r w:rsidRPr="003132E8">
          <w:rPr>
            <w:rStyle w:val="Hyperlink"/>
            <w:sz w:val="16"/>
          </w:rPr>
          <w:t>http://www.cccu.org/~/media/filefolder/A%20Self-Directed%20Guide%20to%20Designing%20Courses%20for%20Significant%20Learning.pdf</w:t>
        </w:r>
      </w:hyperlink>
      <w:r>
        <w:rPr>
          <w:sz w:val="16"/>
        </w:rPr>
        <w:t xml:space="preserve"> </w:t>
      </w:r>
      <w:r w:rsidRPr="000754CD">
        <w:rPr>
          <w:sz w:val="16"/>
        </w:rPr>
        <w:t xml:space="preserve"> </w:t>
      </w:r>
    </w:p>
    <w:p w:rsidR="00963220" w:rsidRPr="000754CD" w:rsidRDefault="00963220" w:rsidP="00963220">
      <w:pPr>
        <w:spacing w:after="0" w:line="240" w:lineRule="auto"/>
        <w:ind w:left="180" w:hanging="180"/>
        <w:rPr>
          <w:sz w:val="16"/>
        </w:rPr>
      </w:pPr>
      <w:r w:rsidRPr="000754CD">
        <w:rPr>
          <w:sz w:val="16"/>
        </w:rPr>
        <w:t xml:space="preserve">Fink, L. D. (2003b). </w:t>
      </w:r>
      <w:proofErr w:type="gramStart"/>
      <w:r w:rsidRPr="00C5305E">
        <w:rPr>
          <w:i/>
          <w:sz w:val="16"/>
        </w:rPr>
        <w:t>Creating significant learning experience: Integrated approach to designing college courses.</w:t>
      </w:r>
      <w:proofErr w:type="gramEnd"/>
      <w:r w:rsidRPr="000754CD">
        <w:rPr>
          <w:sz w:val="16"/>
        </w:rPr>
        <w:t xml:space="preserve"> San Francisco: </w:t>
      </w:r>
      <w:proofErr w:type="spellStart"/>
      <w:r w:rsidRPr="000754CD">
        <w:rPr>
          <w:sz w:val="16"/>
        </w:rPr>
        <w:t>Jossey</w:t>
      </w:r>
      <w:proofErr w:type="spellEnd"/>
      <w:r w:rsidRPr="000754CD">
        <w:rPr>
          <w:sz w:val="16"/>
        </w:rPr>
        <w:t>-Bass.</w:t>
      </w:r>
    </w:p>
    <w:p w:rsidR="00963220" w:rsidRPr="00963220" w:rsidRDefault="00963220" w:rsidP="00963220">
      <w:pPr>
        <w:spacing w:after="0" w:line="240" w:lineRule="auto"/>
        <w:ind w:left="180" w:hanging="180"/>
        <w:rPr>
          <w:sz w:val="16"/>
        </w:rPr>
      </w:pPr>
      <w:r w:rsidRPr="00963220">
        <w:rPr>
          <w:sz w:val="16"/>
        </w:rPr>
        <w:t xml:space="preserve">Garner, J., Davidson, K., &amp; </w:t>
      </w:r>
      <w:proofErr w:type="spellStart"/>
      <w:r w:rsidRPr="00963220">
        <w:rPr>
          <w:sz w:val="16"/>
        </w:rPr>
        <w:t>Schwartzkopf</w:t>
      </w:r>
      <w:proofErr w:type="spellEnd"/>
      <w:r w:rsidRPr="00963220">
        <w:rPr>
          <w:sz w:val="16"/>
        </w:rPr>
        <w:t xml:space="preserve">, B. (2009). Images of academic librarians: How tenure-track librarians portray themselves in the promotion and tenure process. </w:t>
      </w:r>
      <w:r w:rsidRPr="00963220">
        <w:rPr>
          <w:i/>
          <w:sz w:val="16"/>
        </w:rPr>
        <w:t>Serials Librarian</w:t>
      </w:r>
      <w:r w:rsidRPr="00963220">
        <w:rPr>
          <w:sz w:val="16"/>
        </w:rPr>
        <w:t xml:space="preserve">, 56(1-4), 203-208. </w:t>
      </w:r>
      <w:proofErr w:type="gramStart"/>
      <w:r w:rsidRPr="00963220">
        <w:rPr>
          <w:sz w:val="16"/>
        </w:rPr>
        <w:t>doi:</w:t>
      </w:r>
      <w:proofErr w:type="gramEnd"/>
      <w:r w:rsidRPr="00963220">
        <w:rPr>
          <w:sz w:val="16"/>
        </w:rPr>
        <w:t>10.1080/03615260802690694</w:t>
      </w:r>
    </w:p>
    <w:p w:rsidR="00963220" w:rsidRPr="00963220" w:rsidRDefault="00963220" w:rsidP="00963220">
      <w:pPr>
        <w:spacing w:after="0" w:line="240" w:lineRule="auto"/>
        <w:ind w:left="180" w:hanging="180"/>
        <w:rPr>
          <w:sz w:val="16"/>
        </w:rPr>
      </w:pPr>
      <w:r w:rsidRPr="00963220">
        <w:rPr>
          <w:sz w:val="16"/>
        </w:rPr>
        <w:t xml:space="preserve">Gregory, G. M. (2005). </w:t>
      </w:r>
      <w:r w:rsidRPr="00963220">
        <w:rPr>
          <w:i/>
          <w:sz w:val="16"/>
        </w:rPr>
        <w:t>The successful academic librarian: Winning strategies from library leaders</w:t>
      </w:r>
      <w:r w:rsidRPr="00963220">
        <w:rPr>
          <w:sz w:val="16"/>
        </w:rPr>
        <w:t xml:space="preserve">. Medford, N.J: Information Today. </w:t>
      </w:r>
    </w:p>
    <w:p w:rsidR="00963220" w:rsidRPr="000754CD" w:rsidRDefault="00963220" w:rsidP="00963220">
      <w:pPr>
        <w:spacing w:after="0" w:line="240" w:lineRule="auto"/>
        <w:ind w:left="180" w:hanging="180"/>
        <w:rPr>
          <w:sz w:val="16"/>
        </w:rPr>
      </w:pPr>
      <w:proofErr w:type="gramStart"/>
      <w:r w:rsidRPr="00963220">
        <w:rPr>
          <w:sz w:val="16"/>
        </w:rPr>
        <w:t>Park, B., &amp; Riggs, R. (1991).</w:t>
      </w:r>
      <w:proofErr w:type="gramEnd"/>
      <w:r w:rsidRPr="00963220">
        <w:rPr>
          <w:sz w:val="16"/>
        </w:rPr>
        <w:t xml:space="preserve"> Status of the profession: A 1989 national survey of tenure and promotion policies for academic librarians. </w:t>
      </w:r>
      <w:r w:rsidRPr="00963220">
        <w:rPr>
          <w:i/>
          <w:sz w:val="16"/>
        </w:rPr>
        <w:t>College and Research Libraries</w:t>
      </w:r>
      <w:r w:rsidRPr="00963220">
        <w:rPr>
          <w:sz w:val="16"/>
        </w:rPr>
        <w:t xml:space="preserve">, 52(3), 275-289. </w:t>
      </w:r>
    </w:p>
    <w:sectPr w:rsidR="00963220" w:rsidRPr="000754CD" w:rsidSect="00963220">
      <w:type w:val="continuous"/>
      <w:pgSz w:w="12240" w:h="15840"/>
      <w:pgMar w:top="1440" w:right="1080" w:bottom="1440" w:left="108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128CA"/>
    <w:multiLevelType w:val="hybridMultilevel"/>
    <w:tmpl w:val="2AF8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2033F8"/>
    <w:multiLevelType w:val="hybridMultilevel"/>
    <w:tmpl w:val="CCF8B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A57BBA"/>
    <w:multiLevelType w:val="hybridMultilevel"/>
    <w:tmpl w:val="D82CA86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559243C"/>
    <w:multiLevelType w:val="hybridMultilevel"/>
    <w:tmpl w:val="2764A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2FD"/>
    <w:rsid w:val="000754CD"/>
    <w:rsid w:val="002C21CD"/>
    <w:rsid w:val="004C15FE"/>
    <w:rsid w:val="00893515"/>
    <w:rsid w:val="008D62FD"/>
    <w:rsid w:val="00963220"/>
    <w:rsid w:val="009E43EF"/>
    <w:rsid w:val="00A64EBA"/>
    <w:rsid w:val="00C5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0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2F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0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u.org/~/media/filefolder/A%20Self-Directed%20Guide%20to%20Designing%20Courses%20for%20Significant%20Learning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a.org/acrl/standards/promotiontenur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.org/acrl/publications/whitepapers/academiclibrarianshi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817</Words>
  <Characters>4659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Lea Moulaison</dc:creator>
  <cp:lastModifiedBy>Heather Lea Moulaison</cp:lastModifiedBy>
  <cp:revision>2</cp:revision>
  <dcterms:created xsi:type="dcterms:W3CDTF">2013-06-26T21:23:00Z</dcterms:created>
  <dcterms:modified xsi:type="dcterms:W3CDTF">2013-06-26T21:23:00Z</dcterms:modified>
</cp:coreProperties>
</file>